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10bis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w:t>
      </w:r>
      <w:bookmarkStart w:id="6" w:name="_GoBack"/>
      <w:r>
        <w:rPr>
          <w:rFonts w:hint="eastAsia" w:ascii="Arial" w:hAnsi="Arial" w:cs="Arial"/>
          <w:b/>
          <w:sz w:val="24"/>
          <w:szCs w:val="24"/>
        </w:rPr>
        <w:t>2</w:t>
      </w:r>
      <w:r>
        <w:rPr>
          <w:rFonts w:hint="eastAsia" w:ascii="Arial" w:hAnsi="Arial" w:cs="Arial"/>
          <w:b/>
          <w:sz w:val="24"/>
          <w:szCs w:val="24"/>
          <w:lang w:val="en-US" w:eastAsia="zh-CN"/>
        </w:rPr>
        <w:t>405217</w:t>
      </w:r>
      <w:bookmarkEnd w:id="6"/>
      <w:r>
        <w:rPr>
          <w:rFonts w:hint="eastAsia" w:ascii="Arial" w:hAnsi="Arial" w:cs="Arial"/>
          <w:b/>
          <w:sz w:val="24"/>
          <w:szCs w:val="24"/>
        </w:rPr>
        <w:t xml:space="preserve">                         </w:t>
      </w:r>
    </w:p>
    <w:p>
      <w:pPr>
        <w:widowControl/>
        <w:spacing w:beforeLines="50" w:afterLines="50" w:line="240" w:lineRule="exact"/>
        <w:jc w:val="left"/>
        <w:rPr>
          <w:rFonts w:hint="eastAsia" w:ascii="Arial" w:hAnsi="Arial" w:cs="Arial"/>
          <w:b/>
          <w:sz w:val="24"/>
          <w:szCs w:val="24"/>
          <w:lang w:val="en-US" w:eastAsia="zh-CN"/>
        </w:rPr>
      </w:pPr>
      <w:r>
        <w:rPr>
          <w:rFonts w:hint="eastAsia" w:ascii="Arial" w:hAnsi="Arial" w:cs="Arial"/>
          <w:b/>
          <w:sz w:val="24"/>
          <w:szCs w:val="24"/>
          <w:lang w:val="en-US" w:eastAsia="zh-CN"/>
        </w:rPr>
        <w:t>Changsha, China, 15</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April, 2024</w:t>
      </w:r>
    </w:p>
    <w:p>
      <w:pPr>
        <w:widowControl/>
        <w:spacing w:beforeLines="50" w:afterLines="50" w:line="240" w:lineRule="exact"/>
        <w:jc w:val="left"/>
        <w:rPr>
          <w:rFonts w:hint="default" w:ascii="Arial" w:hAnsi="Arial" w:cs="Arial"/>
          <w:b/>
          <w:sz w:val="24"/>
          <w:szCs w:val="24"/>
          <w:lang w:val="en-US" w:eastAsia="zh-CN"/>
        </w:rPr>
      </w:pP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jc w:val="left"/>
        <w:textAlignment w:val="auto"/>
        <w:outlineLvl w:val="9"/>
        <w:rPr>
          <w:rFonts w:hint="eastAsia"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6.21.2</w:t>
      </w:r>
    </w:p>
    <w:p>
      <w:pPr>
        <w:widowControl w:val="0"/>
        <w:tabs>
          <w:tab w:val="left" w:pos="1985"/>
        </w:tabs>
        <w:spacing w:before="157" w:beforeLines="50" w:after="0" w:afterLines="0" w:line="240" w:lineRule="auto"/>
        <w:ind w:left="1979" w:hanging="1979"/>
        <w:jc w:val="left"/>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hint="eastAsia" w:ascii="Arial" w:hAnsi="Arial" w:eastAsia="宋体" w:cs="Arial"/>
          <w:b/>
          <w:sz w:val="24"/>
          <w:szCs w:val="24"/>
          <w:lang w:eastAsia="zh-CN"/>
        </w:rPr>
        <w:t>ZTE</w:t>
      </w:r>
      <w:r>
        <w:rPr>
          <w:rFonts w:hint="eastAsia" w:ascii="Arial" w:hAnsi="Arial" w:cs="Arial"/>
          <w:b/>
          <w:sz w:val="24"/>
          <w:szCs w:val="24"/>
        </w:rPr>
        <w:t xml:space="preserve"> Corporation</w:t>
      </w:r>
    </w:p>
    <w:p>
      <w:pPr>
        <w:widowControl w:val="0"/>
        <w:tabs>
          <w:tab w:val="left" w:pos="1985"/>
        </w:tabs>
        <w:spacing w:before="157" w:beforeLines="50" w:after="0" w:afterLines="0" w:line="240" w:lineRule="auto"/>
        <w:ind w:left="1979" w:hanging="1979" w:firstLineChars="0"/>
        <w:jc w:val="left"/>
        <w:outlineLvl w:val="9"/>
        <w:rPr>
          <w:rFonts w:hint="eastAsia" w:ascii="Arial" w:hAnsi="Arial" w:eastAsia="宋体" w:cs="Arial"/>
          <w:b/>
          <w:sz w:val="24"/>
          <w:szCs w:val="24"/>
        </w:rPr>
      </w:pPr>
      <w:r>
        <w:rPr>
          <w:rFonts w:hint="eastAsia" w:ascii="Arial" w:hAnsi="Arial" w:eastAsia="宋体" w:cs="Arial"/>
          <w:b/>
          <w:sz w:val="24"/>
          <w:szCs w:val="24"/>
          <w:lang w:eastAsia="zh-CN"/>
        </w:rPr>
        <w:t xml:space="preserve">Title: </w:t>
      </w:r>
      <w:r>
        <w:rPr>
          <w:rFonts w:hint="eastAsia" w:ascii="Arial" w:hAnsi="Arial" w:cs="Arial"/>
          <w:b/>
          <w:sz w:val="24"/>
          <w:szCs w:val="24"/>
          <w:lang w:val="en-US" w:eastAsia="zh-CN"/>
        </w:rPr>
        <w:t xml:space="preserve">     </w:t>
      </w:r>
      <w:r>
        <w:rPr>
          <w:rFonts w:hint="eastAsia" w:ascii="Arial" w:hAnsi="Arial" w:cs="Arial"/>
          <w:b/>
          <w:sz w:val="24"/>
          <w:szCs w:val="24"/>
          <w:lang w:val="en-US" w:eastAsia="zh-CN"/>
        </w:rPr>
        <w:t xml:space="preserve">     </w:t>
      </w:r>
      <w:r>
        <w:rPr>
          <w:rFonts w:hint="eastAsia" w:ascii="Arial" w:hAnsi="Arial" w:eastAsia="宋体" w:cs="Arial"/>
          <w:b/>
          <w:sz w:val="24"/>
          <w:szCs w:val="24"/>
          <w:lang w:val="en-US" w:eastAsia="zh-CN"/>
        </w:rPr>
        <w:t>Discussion on i</w:t>
      </w:r>
      <w:r>
        <w:rPr>
          <w:rFonts w:hint="eastAsia" w:ascii="Arial" w:hAnsi="Arial" w:cs="Arial"/>
          <w:b/>
          <w:sz w:val="24"/>
          <w:szCs w:val="24"/>
        </w:rPr>
        <w:t>mpacts to RRM core requirements for Enhanced</w:t>
      </w:r>
      <w:r>
        <w:rPr>
          <w:rFonts w:hint="eastAsia" w:ascii="Arial" w:hAnsi="Arial" w:cs="Arial"/>
          <w:b/>
          <w:sz w:val="24"/>
          <w:szCs w:val="24"/>
          <w:lang w:val="en-US" w:eastAsia="zh-CN"/>
        </w:rPr>
        <w:t xml:space="preserve"> </w:t>
      </w:r>
      <w:r>
        <w:rPr>
          <w:rFonts w:hint="eastAsia" w:ascii="Arial" w:hAnsi="Arial" w:cs="Arial"/>
          <w:b/>
          <w:sz w:val="24"/>
          <w:szCs w:val="24"/>
        </w:rPr>
        <w:t>RedCap</w:t>
      </w:r>
      <w:r>
        <w:rPr>
          <w:rFonts w:hint="eastAsia" w:ascii="Arial" w:hAnsi="Arial" w:cs="Arial"/>
          <w:b/>
          <w:sz w:val="24"/>
          <w:szCs w:val="24"/>
          <w:lang w:val="en-US" w:eastAsia="zh-CN"/>
        </w:rPr>
        <w:t xml:space="preserve"> </w:t>
      </w:r>
      <w:r>
        <w:rPr>
          <w:rFonts w:hint="eastAsia" w:ascii="Arial" w:hAnsi="Arial" w:cs="Arial"/>
          <w:b/>
          <w:sz w:val="24"/>
          <w:szCs w:val="24"/>
        </w:rPr>
        <w:t xml:space="preserve">  </w:t>
      </w:r>
    </w:p>
    <w:p>
      <w:pPr>
        <w:widowControl w:val="0"/>
        <w:tabs>
          <w:tab w:val="left" w:pos="1985"/>
        </w:tabs>
        <w:spacing w:before="157" w:beforeLines="50" w:after="0" w:afterLines="0" w:line="240" w:lineRule="auto"/>
        <w:ind w:left="1979" w:hanging="1979"/>
        <w:jc w:val="left"/>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4"/>
        <w:tabs>
          <w:tab w:val="left" w:pos="567"/>
          <w:tab w:val="clear" w:pos="1985"/>
        </w:tabs>
        <w:adjustRightInd w:val="0"/>
        <w:ind w:left="510" w:hanging="510"/>
      </w:pPr>
      <w:r>
        <w:t>Introduction</w:t>
      </w:r>
    </w:p>
    <w:p>
      <w:pPr>
        <w:outlineLvl w:val="9"/>
        <w:rPr>
          <w:lang w:val="en-US" w:eastAsia="zh-CN"/>
        </w:rPr>
      </w:pPr>
      <w:r>
        <w:rPr>
          <w:rFonts w:hint="eastAsia" w:eastAsia="宋体"/>
          <w:lang w:eastAsia="zh-CN"/>
        </w:rPr>
        <w:t>I</w:t>
      </w:r>
      <w:r>
        <w:rPr>
          <w:rFonts w:eastAsia="宋体"/>
          <w:lang w:eastAsia="zh-CN"/>
        </w:rPr>
        <w:t xml:space="preserve">n RAN4#109 meeting, </w:t>
      </w:r>
      <w:r>
        <w:rPr>
          <w:rFonts w:hint="eastAsia" w:cs="Times New Roman" w:eastAsiaTheme="minorEastAsia"/>
          <w:szCs w:val="21"/>
          <w:lang w:val="en-US" w:eastAsia="zh-CN"/>
        </w:rPr>
        <w:t xml:space="preserve">RRM core part of this WI was closed. </w:t>
      </w:r>
      <w:r>
        <w:rPr>
          <w:rFonts w:eastAsia="宋体"/>
          <w:lang w:eastAsia="zh-CN"/>
        </w:rPr>
        <w:t>This contribution provides some analysis</w:t>
      </w:r>
      <w:r>
        <w:rPr>
          <w:rFonts w:hint="eastAsia" w:eastAsia="宋体"/>
          <w:lang w:val="en-US" w:eastAsia="zh-CN"/>
        </w:rPr>
        <w:t xml:space="preserve"> about </w:t>
      </w:r>
      <w:r>
        <w:t>how to define the measurements on higher priority carriers</w:t>
      </w:r>
      <w:r>
        <w:rPr>
          <w:rFonts w:eastAsia="宋体"/>
          <w:lang w:eastAsia="zh-CN"/>
        </w:rPr>
        <w:t xml:space="preserve"> on maintenance in core part. </w:t>
      </w:r>
    </w:p>
    <w:p>
      <w:pPr>
        <w:pStyle w:val="54"/>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10"/>
      <w:bookmarkStart w:id="3" w:name="OLE_LINK14"/>
      <w:bookmarkStart w:id="4" w:name="OLE_LINK20"/>
      <w:r>
        <w:rPr>
          <w:rFonts w:hint="eastAsia" w:eastAsia="Times New Roman"/>
        </w:rPr>
        <w:t xml:space="preserve"> </w:t>
      </w:r>
    </w:p>
    <w:p>
      <w:pPr>
        <w:keepNext w:val="0"/>
        <w:keepLines w:val="0"/>
        <w:pageBreakBefore w:val="0"/>
        <w:widowControl/>
        <w:kinsoku/>
        <w:wordWrap/>
        <w:topLinePunct w:val="0"/>
        <w:bidi w:val="0"/>
        <w:snapToGrid/>
        <w:spacing w:before="0" w:beforeLines="-2147483648"/>
        <w:rPr>
          <w:rFonts w:hint="default" w:ascii="Times New Roman" w:hAnsi="Times New Roman" w:cs="Times New Roman" w:eastAsiaTheme="minorEastAsia"/>
          <w:szCs w:val="21"/>
          <w:lang w:val="en-US" w:eastAsia="zh-CN"/>
        </w:rPr>
      </w:pPr>
      <w:r>
        <w:rPr>
          <w:rFonts w:hint="eastAsia" w:cs="Times New Roman" w:eastAsiaTheme="minorEastAsia"/>
          <w:szCs w:val="21"/>
          <w:lang w:val="en-US" w:eastAsia="zh-CN"/>
        </w:rPr>
        <w:t xml:space="preserve">In the last meeting, </w:t>
      </w:r>
      <w:r>
        <w:rPr>
          <w:rFonts w:hint="default" w:ascii="Times New Roman" w:hAnsi="Times New Roman" w:cs="Times New Roman" w:eastAsiaTheme="minorEastAsia"/>
          <w:szCs w:val="21"/>
          <w:lang w:val="en-US" w:eastAsia="zh-CN"/>
        </w:rPr>
        <w:t>RAN4 has discussed enhanced support for reduced capability devices and has achieved some agreements</w:t>
      </w:r>
      <w:r>
        <w:rPr>
          <w:rFonts w:hint="eastAsia" w:cs="Times New Roman" w:eastAsiaTheme="minorEastAsia"/>
          <w:szCs w:val="21"/>
          <w:lang w:val="en-US" w:eastAsia="zh-CN"/>
        </w:rPr>
        <w:t xml:space="preserve"> in WF </w:t>
      </w:r>
      <w:r>
        <w:rPr>
          <w:rFonts w:hint="default" w:ascii="Times New Roman" w:hAnsi="Times New Roman" w:cs="Times New Roman" w:eastAsiaTheme="minorEastAsia"/>
          <w:szCs w:val="21"/>
          <w:lang w:val="en-US" w:eastAsia="zh-CN"/>
        </w:rPr>
        <w:t>[</w:t>
      </w:r>
      <w:r>
        <w:rPr>
          <w:rFonts w:hint="eastAsia" w:ascii="Times New Roman" w:hAnsi="Times New Roman" w:cs="Times New Roman" w:eastAsiaTheme="minorEastAsia"/>
          <w:szCs w:val="21"/>
          <w:lang w:val="en-US" w:eastAsia="zh-CN"/>
        </w:rPr>
        <w:t>1</w:t>
      </w:r>
      <w:r>
        <w:rPr>
          <w:rFonts w:hint="default" w:ascii="Times New Roman" w:hAnsi="Times New Roman" w:cs="Times New Roman" w:eastAsiaTheme="minorEastAsia"/>
          <w:szCs w:val="21"/>
          <w:lang w:val="en-US" w:eastAsia="zh-CN"/>
        </w:rPr>
        <w:t xml:space="preserve">]. </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8522" w:type="dxa"/>
            <w:tcBorders>
              <w:top w:val="single" w:color="auto" w:sz="4" w:space="0"/>
              <w:left w:val="single" w:color="auto" w:sz="4" w:space="0"/>
              <w:bottom w:val="single" w:color="auto" w:sz="4" w:space="0"/>
              <w:right w:val="single" w:color="auto" w:sz="4" w:space="0"/>
            </w:tcBorders>
            <w:shd w:val="clear" w:color="auto" w:fill="auto"/>
          </w:tcPr>
          <w:p>
            <w:pPr>
              <w:rPr>
                <w:b/>
                <w:sz w:val="21"/>
                <w:szCs w:val="21"/>
                <w:u w:val="single"/>
                <w:lang w:eastAsia="ko-KR"/>
              </w:rPr>
            </w:pPr>
            <w:r>
              <w:rPr>
                <w:b/>
                <w:sz w:val="21"/>
                <w:szCs w:val="21"/>
                <w:u w:val="single"/>
                <w:lang w:eastAsia="ko-KR"/>
              </w:rPr>
              <w:t>Relaxation scenarios for INACTIVE mode neighbour cell measurements</w:t>
            </w:r>
          </w:p>
          <w:p>
            <w:pPr>
              <w:pStyle w:val="33"/>
              <w:numPr>
                <w:ilvl w:val="0"/>
                <w:numId w:val="5"/>
              </w:numPr>
              <w:spacing w:after="120"/>
              <w:ind w:firstLineChars="0"/>
              <w:textAlignment w:val="auto"/>
              <w:rPr>
                <w:highlight w:val="yellow"/>
              </w:rPr>
            </w:pPr>
            <w:r>
              <w:rPr>
                <w:highlight w:val="yellow"/>
              </w:rPr>
              <w:t>When configured with eDRX_IDLE in IDLE/INACTIVE mode, the UE shall search every layer of higher priority at least every T</w:t>
            </w:r>
            <w:r>
              <w:rPr>
                <w:highlight w:val="yellow"/>
                <w:vertAlign w:val="subscript"/>
              </w:rPr>
              <w:t>higher_priority_search</w:t>
            </w:r>
            <w:r>
              <w:rPr>
                <w:highlight w:val="yellow"/>
              </w:rPr>
              <w:t xml:space="preserve"> = max(</w:t>
            </w:r>
            <w:r>
              <w:rPr>
                <w:highlight w:val="yellow"/>
                <w:lang w:eastAsia="zh-CN"/>
              </w:rPr>
              <w:t>60</w:t>
            </w:r>
            <w:r>
              <w:rPr>
                <w:highlight w:val="yellow"/>
              </w:rPr>
              <w:t>, [1]*</w:t>
            </w:r>
            <w:r>
              <w:rPr>
                <w:snapToGrid w:val="0"/>
                <w:highlight w:val="yellow"/>
              </w:rPr>
              <w:t>eDRX_IDLE cycle length</w:t>
            </w:r>
            <w:r>
              <w:rPr>
                <w:highlight w:val="yellow"/>
              </w:rPr>
              <w:t>) * N</w:t>
            </w:r>
            <w:r>
              <w:rPr>
                <w:highlight w:val="yellow"/>
                <w:vertAlign w:val="subscript"/>
              </w:rPr>
              <w:t>layers</w:t>
            </w:r>
            <w:r>
              <w:rPr>
                <w:highlight w:val="yellow"/>
              </w:rPr>
              <w:t xml:space="preserve"> seconds.</w:t>
            </w:r>
          </w:p>
          <w:p>
            <w:pPr>
              <w:pStyle w:val="33"/>
              <w:numPr>
                <w:ilvl w:val="1"/>
                <w:numId w:val="5"/>
              </w:numPr>
              <w:spacing w:after="120"/>
              <w:ind w:firstLineChars="0"/>
              <w:textAlignment w:val="auto"/>
              <w:rPr>
                <w:highlight w:val="yellow"/>
              </w:rPr>
            </w:pPr>
            <w:r>
              <w:rPr>
                <w:highlight w:val="yellow"/>
              </w:rPr>
              <w:t>RAN4 to further discuss the value of [1] during the next RAN4 meeting.</w:t>
            </w:r>
          </w:p>
          <w:p>
            <w:pPr>
              <w:rPr>
                <w:highlight w:val="yellow"/>
                <w:lang w:val="en-US"/>
              </w:rPr>
            </w:pPr>
          </w:p>
          <w:p>
            <w:pPr>
              <w:pStyle w:val="33"/>
              <w:numPr>
                <w:ilvl w:val="1"/>
                <w:numId w:val="6"/>
              </w:numPr>
              <w:ind w:left="1830" w:leftChars="0" w:firstLineChars="0"/>
              <w:rPr>
                <w:szCs w:val="21"/>
              </w:rPr>
            </w:pPr>
            <w:r>
              <w:rPr>
                <w:szCs w:val="21"/>
              </w:rPr>
              <w:t xml:space="preserve">Option 1 (Nokia): </w:t>
            </w:r>
          </w:p>
          <w:p>
            <w:pPr>
              <w:pStyle w:val="33"/>
              <w:numPr>
                <w:ilvl w:val="2"/>
                <w:numId w:val="6"/>
              </w:numPr>
              <w:rPr>
                <w:szCs w:val="21"/>
              </w:rPr>
            </w:pPr>
            <w:r>
              <w:rPr>
                <w:szCs w:val="21"/>
              </w:rPr>
              <w:t xml:space="preserve">RAN4 should align the requirements on higher priority carriers </w:t>
            </w:r>
            <w:r>
              <w:rPr>
                <w:szCs w:val="21"/>
                <w:highlight w:val="none"/>
              </w:rPr>
              <w:t>between NR and LTE</w:t>
            </w:r>
            <w:r>
              <w:rPr>
                <w:szCs w:val="21"/>
              </w:rPr>
              <w:t>: UE shall search every layer of higher priority at least every T</w:t>
            </w:r>
            <w:r>
              <w:rPr>
                <w:szCs w:val="21"/>
                <w:vertAlign w:val="subscript"/>
              </w:rPr>
              <w:t>higher_priority_search</w:t>
            </w:r>
            <w:r>
              <w:rPr>
                <w:szCs w:val="21"/>
              </w:rPr>
              <w:t xml:space="preserve"> = max(60 * N</w:t>
            </w:r>
            <w:r>
              <w:rPr>
                <w:szCs w:val="21"/>
                <w:vertAlign w:val="subscript"/>
              </w:rPr>
              <w:t xml:space="preserve">layers </w:t>
            </w:r>
            <w:r>
              <w:rPr>
                <w:szCs w:val="21"/>
              </w:rPr>
              <w:t>, 1 *  eDRX_IDLE cycle length).</w:t>
            </w:r>
          </w:p>
          <w:p>
            <w:pPr>
              <w:pStyle w:val="33"/>
              <w:numPr>
                <w:ilvl w:val="1"/>
                <w:numId w:val="6"/>
              </w:numPr>
              <w:ind w:left="1830" w:leftChars="0" w:firstLineChars="0"/>
              <w:rPr>
                <w:szCs w:val="21"/>
              </w:rPr>
            </w:pPr>
            <w:r>
              <w:rPr>
                <w:szCs w:val="21"/>
              </w:rPr>
              <w:t>Option 2 (Ericsson): RAN4 to confirm the previous agreement on higher priority carrier measurement requirements by removing the [ ].</w:t>
            </w:r>
            <w:r>
              <w:rPr>
                <w:szCs w:val="21"/>
                <w:lang w:eastAsia="en-GB"/>
              </w:rPr>
              <w:t xml:space="preserve"> </w:t>
            </w:r>
          </w:p>
          <w:p>
            <w:pPr>
              <w:pStyle w:val="33"/>
              <w:ind w:left="1440"/>
              <w:rPr>
                <w:szCs w:val="21"/>
              </w:rPr>
            </w:pPr>
            <w:r>
              <w:rPr>
                <w:szCs w:val="21"/>
              </w:rPr>
              <w:t>T</w:t>
            </w:r>
            <w:r>
              <w:rPr>
                <w:szCs w:val="21"/>
                <w:vertAlign w:val="subscript"/>
              </w:rPr>
              <w:t>higher_priority_search</w:t>
            </w:r>
            <w:r>
              <w:rPr>
                <w:szCs w:val="21"/>
              </w:rPr>
              <w:t xml:space="preserve"> = max(60, 1 * eDRX_IDLE cycle length) * N</w:t>
            </w:r>
            <w:r>
              <w:rPr>
                <w:szCs w:val="21"/>
                <w:vertAlign w:val="subscript"/>
              </w:rPr>
              <w:t>layers</w:t>
            </w:r>
          </w:p>
          <w:p>
            <w:pPr>
              <w:pStyle w:val="33"/>
              <w:numPr>
                <w:ilvl w:val="1"/>
                <w:numId w:val="6"/>
              </w:numPr>
              <w:ind w:left="1830" w:leftChars="0" w:firstLineChars="0"/>
              <w:rPr>
                <w:szCs w:val="21"/>
              </w:rPr>
            </w:pPr>
            <w:r>
              <w:rPr>
                <w:szCs w:val="21"/>
              </w:rPr>
              <w:t xml:space="preserve">Option 3 (QC): </w:t>
            </w:r>
          </w:p>
          <w:p>
            <w:pPr>
              <w:pStyle w:val="33"/>
              <w:numPr>
                <w:ilvl w:val="2"/>
                <w:numId w:val="6"/>
              </w:numPr>
              <w:rPr>
                <w:szCs w:val="21"/>
              </w:rPr>
            </w:pPr>
            <w:r>
              <w:rPr>
                <w:szCs w:val="21"/>
                <w:lang w:eastAsia="ja-JP"/>
              </w:rPr>
              <w:t xml:space="preserve">When eDRX is configured without PTW (i.e., for eDRX cycle lengths of &lt;=10.24s), specify the high priority search rate as 24*eDRX_IDLE cycle length to ensure that the high priority search rate is </w:t>
            </w:r>
            <w:r>
              <w:rPr>
                <w:b/>
                <w:szCs w:val="21"/>
                <w:lang w:eastAsia="ja-JP"/>
              </w:rPr>
              <w:t>not faster</w:t>
            </w:r>
            <w:r>
              <w:rPr>
                <w:szCs w:val="21"/>
                <w:lang w:eastAsia="ja-JP"/>
              </w:rPr>
              <w:t xml:space="preserve"> than the normal search rate.</w:t>
            </w:r>
          </w:p>
          <w:p>
            <w:pPr>
              <w:pStyle w:val="33"/>
              <w:numPr>
                <w:ilvl w:val="2"/>
                <w:numId w:val="6"/>
              </w:numPr>
              <w:rPr>
                <w:szCs w:val="21"/>
              </w:rPr>
            </w:pPr>
            <w:r>
              <w:rPr>
                <w:szCs w:val="21"/>
                <w:lang w:eastAsia="ja-JP"/>
              </w:rPr>
              <w:t xml:space="preserve">When eDRX is configured with PTW (i.e., for eDRX cycle lengths of &gt;10.24s), specify the high priority search rate as 12*eDRX_IDLE cycle length to ensure that the high priority search rate is </w:t>
            </w:r>
            <w:r>
              <w:rPr>
                <w:b/>
                <w:szCs w:val="21"/>
                <w:lang w:eastAsia="ja-JP"/>
              </w:rPr>
              <w:t>not faster</w:t>
            </w:r>
            <w:r>
              <w:rPr>
                <w:szCs w:val="21"/>
                <w:lang w:eastAsia="ja-JP"/>
              </w:rPr>
              <w:t xml:space="preserve"> than the normal search rate.</w:t>
            </w:r>
          </w:p>
          <w:p>
            <w:pPr>
              <w:pStyle w:val="49"/>
              <w:numPr>
                <w:ilvl w:val="-1"/>
                <w:numId w:val="0"/>
              </w:numPr>
              <w:overflowPunct w:val="0"/>
              <w:autoSpaceDE w:val="0"/>
              <w:autoSpaceDN w:val="0"/>
              <w:adjustRightInd w:val="0"/>
              <w:ind w:left="0" w:firstLine="0"/>
              <w:textAlignment w:val="baseline"/>
              <w:outlineLvl w:val="1"/>
              <w:rPr>
                <w:rFonts w:ascii="Times New Roman" w:hAnsi="Times New Roman"/>
                <w:lang w:val="en-US" w:eastAsia="ja-JP"/>
              </w:rPr>
            </w:pPr>
          </w:p>
        </w:tc>
      </w:tr>
    </w:tbl>
    <w:p>
      <w:pPr>
        <w:spacing w:before="157" w:beforeLines="50"/>
      </w:pPr>
      <w:r>
        <w:rPr>
          <w:rFonts w:hint="eastAsia" w:cs="Times New Roman" w:eastAsiaTheme="minorEastAsia"/>
          <w:szCs w:val="21"/>
          <w:lang w:val="en-US" w:eastAsia="zh-CN"/>
        </w:rPr>
        <w:t xml:space="preserve">This issue is discussed last meeting and there is no consensus when configured with eDRX_IDLE in </w:t>
      </w:r>
      <w:r>
        <w:t>IDLE/INACTIVE mode</w:t>
      </w:r>
      <w:r>
        <w:rPr>
          <w:rFonts w:hint="eastAsia" w:cs="Times New Roman" w:eastAsiaTheme="minorEastAsia"/>
          <w:szCs w:val="21"/>
          <w:lang w:val="en-US" w:eastAsia="zh-CN"/>
        </w:rPr>
        <w:t xml:space="preserve">. </w:t>
      </w:r>
      <w:r>
        <w:rPr>
          <w:lang w:val="en-US"/>
        </w:rPr>
        <w:t xml:space="preserve">It was agreed already in LTE during increased carrier monitoring discussions that a UE configured with eDRX measures on the higher priority carriers at least every </w:t>
      </w:r>
      <w:r>
        <w:rPr>
          <w:lang w:val="en-US" w:eastAsia="zh-CN"/>
        </w:rPr>
        <w:t>60</w:t>
      </w:r>
      <w:r>
        <w:rPr>
          <w:lang w:val="en-US"/>
        </w:rPr>
        <w:t>* N</w:t>
      </w:r>
      <w:r>
        <w:rPr>
          <w:vertAlign w:val="subscript"/>
          <w:lang w:val="en-US"/>
        </w:rPr>
        <w:t>layers</w:t>
      </w:r>
      <w:r>
        <w:rPr>
          <w:lang w:val="en-US"/>
        </w:rPr>
        <w:t>.</w:t>
      </w:r>
      <w:r>
        <w:rPr>
          <w:highlight w:val="none"/>
          <w:lang w:val="en-US"/>
        </w:rPr>
        <w:t xml:space="preserve"> Later when extended DRX support was introduced for LTE, this requirement was updated to T</w:t>
      </w:r>
      <w:r>
        <w:rPr>
          <w:highlight w:val="none"/>
          <w:vertAlign w:val="subscript"/>
          <w:lang w:val="en-US"/>
        </w:rPr>
        <w:t>higher_priority_search</w:t>
      </w:r>
      <w:r>
        <w:rPr>
          <w:highlight w:val="none"/>
          <w:lang w:val="en-US"/>
        </w:rPr>
        <w:t xml:space="preserve"> = </w:t>
      </w:r>
      <w:r>
        <w:rPr>
          <w:rFonts w:eastAsia="Times New Roman" w:cs="Times New Roman"/>
          <w:szCs w:val="20"/>
          <w:highlight w:val="none"/>
          <w:lang w:val="en-GB"/>
        </w:rPr>
        <w:t>MAX(60 * N</w:t>
      </w:r>
      <w:r>
        <w:rPr>
          <w:rFonts w:eastAsia="Times New Roman" w:cs="Times New Roman"/>
          <w:szCs w:val="20"/>
          <w:highlight w:val="none"/>
          <w:vertAlign w:val="subscript"/>
          <w:lang w:val="en-GB"/>
        </w:rPr>
        <w:t>layers</w:t>
      </w:r>
      <w:r>
        <w:rPr>
          <w:rFonts w:eastAsia="Times New Roman" w:cs="Times New Roman"/>
          <w:szCs w:val="20"/>
          <w:highlight w:val="none"/>
          <w:lang w:val="en-GB"/>
        </w:rPr>
        <w:t>, one eDRX_IDLE cycle)</w:t>
      </w:r>
      <w:r>
        <w:rPr>
          <w:rFonts w:hint="eastAsia"/>
          <w:highlight w:val="none"/>
          <w:lang w:val="en-US" w:eastAsia="zh-CN"/>
        </w:rPr>
        <w:t>.</w:t>
      </w:r>
      <w:r>
        <w:rPr>
          <w:rFonts w:hint="eastAsia"/>
          <w:highlight w:val="none"/>
          <w:lang w:val="en-US" w:eastAsia="zh-CN"/>
        </w:rPr>
        <w:t xml:space="preserve"> </w:t>
      </w:r>
      <w:r>
        <w:t xml:space="preserve">In Clause 4.2.2 of </w:t>
      </w:r>
      <w:r>
        <w:rPr>
          <w:rFonts w:hint="eastAsia"/>
          <w:lang w:val="en-US" w:eastAsia="zh-CN"/>
        </w:rPr>
        <w:t>TS</w:t>
      </w:r>
      <w:r>
        <w:t xml:space="preserve">36.133, the requirements on higher priority search are specified.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85" w:hRule="atLeast"/>
        </w:trPr>
        <w:tc>
          <w:tcPr>
            <w:tcW w:w="9617" w:type="dxa"/>
          </w:tcPr>
          <w:p>
            <w:pPr>
              <w:keepNext/>
              <w:keepLines/>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szCs w:val="20"/>
                <w:lang w:val="en-GB"/>
              </w:rPr>
            </w:pPr>
            <w:bookmarkStart w:id="5" w:name="_Toc383690645"/>
            <w:r>
              <w:rPr>
                <w:rFonts w:ascii="Arial" w:hAnsi="Arial" w:eastAsia="Times New Roman" w:cs="Times New Roman"/>
                <w:sz w:val="28"/>
                <w:szCs w:val="20"/>
                <w:lang w:val="en-GB"/>
              </w:rPr>
              <w:t>4.2.2</w:t>
            </w:r>
            <w:r>
              <w:rPr>
                <w:rFonts w:ascii="Arial" w:hAnsi="Arial" w:eastAsia="Times New Roman" w:cs="Times New Roman"/>
                <w:sz w:val="28"/>
                <w:szCs w:val="20"/>
                <w:lang w:val="en-GB"/>
              </w:rPr>
              <w:tab/>
            </w:r>
            <w:r>
              <w:rPr>
                <w:rFonts w:ascii="Arial" w:hAnsi="Arial" w:eastAsia="Times New Roman" w:cs="Times New Roman"/>
                <w:sz w:val="28"/>
                <w:szCs w:val="20"/>
                <w:lang w:val="en-GB"/>
              </w:rPr>
              <w:t>Requirements</w:t>
            </w:r>
            <w:bookmarkEnd w:id="5"/>
          </w:p>
          <w:p>
            <w:pPr>
              <w:overflowPunct w:val="0"/>
              <w:autoSpaceDE w:val="0"/>
              <w:autoSpaceDN w:val="0"/>
              <w:adjustRightInd w:val="0"/>
              <w:spacing w:after="180" w:line="240" w:lineRule="auto"/>
              <w:textAlignment w:val="baseline"/>
              <w:rPr>
                <w:rFonts w:eastAsia="Times New Roman" w:cs="Times New Roman"/>
                <w:szCs w:val="20"/>
                <w:lang w:val="en-GB"/>
              </w:rPr>
            </w:pPr>
            <w:r>
              <w:rPr>
                <w:rFonts w:eastAsia="Times New Roman" w:cs="Times New Roman"/>
                <w:szCs w:val="20"/>
                <w:lang w:val="en-GB"/>
              </w:rPr>
              <w:t>The UE shall search every layer of higher priority at least every T</w:t>
            </w:r>
            <w:r>
              <w:rPr>
                <w:rFonts w:eastAsia="Times New Roman" w:cs="Times New Roman"/>
                <w:szCs w:val="20"/>
                <w:vertAlign w:val="subscript"/>
                <w:lang w:val="en-GB"/>
              </w:rPr>
              <w:t>higher_priority_search</w:t>
            </w:r>
            <w:r>
              <w:rPr>
                <w:rFonts w:eastAsia="Times New Roman" w:cs="Times New Roman"/>
                <w:szCs w:val="20"/>
                <w:lang w:val="en-GB"/>
              </w:rPr>
              <w:t xml:space="preserve"> = (60 * N</w:t>
            </w:r>
            <w:r>
              <w:rPr>
                <w:rFonts w:eastAsia="Times New Roman" w:cs="Times New Roman"/>
                <w:szCs w:val="20"/>
                <w:vertAlign w:val="subscript"/>
                <w:lang w:val="en-GB"/>
              </w:rPr>
              <w:t>layers</w:t>
            </w:r>
            <w:r>
              <w:rPr>
                <w:rFonts w:eastAsia="Times New Roman" w:cs="Times New Roman"/>
                <w:szCs w:val="20"/>
                <w:lang w:val="en-GB"/>
              </w:rPr>
              <w:t xml:space="preserve">) seconds when the UE is not configured with eDRX_IDLE cycle, and at least every </w:t>
            </w:r>
            <w:r>
              <w:rPr>
                <w:rFonts w:eastAsia="Times New Roman" w:cs="Times New Roman"/>
                <w:szCs w:val="20"/>
                <w:highlight w:val="green"/>
                <w:lang w:val="en-GB"/>
              </w:rPr>
              <w:t>T</w:t>
            </w:r>
            <w:r>
              <w:rPr>
                <w:rFonts w:eastAsia="Times New Roman" w:cs="Times New Roman"/>
                <w:szCs w:val="20"/>
                <w:highlight w:val="green"/>
                <w:vertAlign w:val="subscript"/>
                <w:lang w:val="en-GB"/>
              </w:rPr>
              <w:t>higher_priority_search</w:t>
            </w:r>
            <w:r>
              <w:rPr>
                <w:rFonts w:eastAsia="Times New Roman" w:cs="Times New Roman"/>
                <w:szCs w:val="20"/>
                <w:highlight w:val="green"/>
                <w:lang w:val="en-GB"/>
              </w:rPr>
              <w:t xml:space="preserve"> = MAX(60 * N</w:t>
            </w:r>
            <w:r>
              <w:rPr>
                <w:rFonts w:eastAsia="Times New Roman" w:cs="Times New Roman"/>
                <w:szCs w:val="20"/>
                <w:highlight w:val="green"/>
                <w:vertAlign w:val="subscript"/>
                <w:lang w:val="en-GB"/>
              </w:rPr>
              <w:t>layers</w:t>
            </w:r>
            <w:r>
              <w:rPr>
                <w:rFonts w:eastAsia="Times New Roman" w:cs="Times New Roman"/>
                <w:szCs w:val="20"/>
                <w:highlight w:val="green"/>
                <w:lang w:val="en-GB"/>
              </w:rPr>
              <w:t>, one eDRX_IDLE cycle)</w:t>
            </w:r>
            <w:r>
              <w:rPr>
                <w:rFonts w:eastAsia="Times New Roman" w:cs="Times New Roman"/>
                <w:szCs w:val="20"/>
                <w:lang w:val="en-GB"/>
              </w:rPr>
              <w:t xml:space="preserve"> when UE is configured with eDRX_IDLE cycle, where N</w:t>
            </w:r>
            <w:r>
              <w:rPr>
                <w:rFonts w:eastAsia="Times New Roman" w:cs="Times New Roman"/>
                <w:szCs w:val="20"/>
                <w:vertAlign w:val="subscript"/>
                <w:lang w:val="en-GB"/>
              </w:rPr>
              <w:t>layers</w:t>
            </w:r>
            <w:r>
              <w:rPr>
                <w:rFonts w:eastAsia="Times New Roman" w:cs="Times New Roman"/>
                <w:szCs w:val="20"/>
                <w:lang w:val="en-GB"/>
              </w:rPr>
              <w:t xml:space="preserve"> is the total number of configured higher priority E-UTRA, UTRA FDD, UTRA TDD, CDMA2000 1x, HRPD and NR carrier frequencies and is additionally increased by one if one or more groups of GSM frequencies is configured as a higher priority.</w:t>
            </w:r>
          </w:p>
          <w:p>
            <w:pPr>
              <w:spacing w:after="0" w:line="240" w:lineRule="auto"/>
            </w:pPr>
          </w:p>
        </w:tc>
      </w:tr>
    </w:tbl>
    <w:p>
      <w:pPr>
        <w:keepNext w:val="0"/>
        <w:keepLines w:val="0"/>
        <w:pageBreakBefore w:val="0"/>
        <w:widowControl w:val="0"/>
        <w:kinsoku/>
        <w:wordWrap/>
        <w:topLinePunct w:val="0"/>
        <w:bidi w:val="0"/>
        <w:snapToGrid/>
        <w:spacing w:before="157" w:beforeLines="50"/>
        <w:rPr>
          <w:rFonts w:hint="eastAsia"/>
          <w:highlight w:val="none"/>
          <w:lang w:val="en-US" w:eastAsia="zh-CN"/>
        </w:rPr>
      </w:pPr>
      <w:r>
        <w:rPr>
          <w:rFonts w:hint="eastAsia" w:cs="Times New Roman"/>
          <w:szCs w:val="21"/>
          <w:lang w:val="en-US" w:eastAsia="zh-CN"/>
        </w:rPr>
        <w:t xml:space="preserve">In our understanding, the </w:t>
      </w:r>
      <w:r>
        <w:t>requirements on higher priority carriers between NR and LTE</w:t>
      </w:r>
      <w:r>
        <w:rPr>
          <w:rFonts w:hint="eastAsia"/>
          <w:lang w:val="en-US" w:eastAsia="zh-CN"/>
        </w:rPr>
        <w:t xml:space="preserve"> should be aligned. So, we perfer option 1. There are some companies support option2, we have no strong view on it. Just a question,</w:t>
      </w:r>
      <w:r>
        <w:rPr>
          <w:rFonts w:hint="eastAsia"/>
          <w:highlight w:val="none"/>
          <w:lang w:val="en-US" w:eastAsia="zh-CN"/>
        </w:rPr>
        <w:t xml:space="preserve"> why the requirements in LTE can</w:t>
      </w:r>
      <w:r>
        <w:rPr>
          <w:rFonts w:hint="default"/>
          <w:highlight w:val="none"/>
          <w:lang w:val="en-US" w:eastAsia="zh-CN"/>
        </w:rPr>
        <w:t>’</w:t>
      </w:r>
      <w:r>
        <w:rPr>
          <w:rFonts w:hint="eastAsia"/>
          <w:highlight w:val="none"/>
          <w:lang w:val="en-US" w:eastAsia="zh-CN"/>
        </w:rPr>
        <w:t>t be reuse for NR?</w:t>
      </w:r>
    </w:p>
    <w:p>
      <w:pPr>
        <w:spacing w:after="120"/>
        <w:rPr>
          <w:lang w:eastAsia="zh-CN"/>
        </w:rPr>
      </w:pPr>
      <w:r>
        <w:rPr>
          <w:rFonts w:hint="eastAsia"/>
          <w:lang w:val="en-US" w:eastAsia="zh-CN"/>
        </w:rPr>
        <w:t xml:space="preserve">For option 3, proponent insists RAN4 should follow the current principle to ensure that the high priority search rate with eDRX should be slower than the search rate for normal mode. However, the length of eDRX_IDLE_cycle is up to </w:t>
      </w:r>
      <w:r>
        <w:rPr>
          <w:rFonts w:ascii="Times New Roman" w:hAnsi="Times New Roman" w:cs="Times New Roman"/>
          <w:sz w:val="21"/>
          <w:szCs w:val="28"/>
          <w:lang w:eastAsia="zh-CN"/>
        </w:rPr>
        <w:t>10485.76</w:t>
      </w:r>
      <w:r>
        <w:rPr>
          <w:rFonts w:hint="default" w:ascii="Times New Roman" w:hAnsi="Times New Roman" w:cs="Times New Roman"/>
          <w:sz w:val="21"/>
          <w:szCs w:val="28"/>
          <w:lang w:val="en-US" w:eastAsia="zh-CN"/>
        </w:rPr>
        <w:t xml:space="preserve"> seconds</w:t>
      </w:r>
      <w:r>
        <w:rPr>
          <w:rFonts w:hint="eastAsia"/>
          <w:lang w:val="en-US" w:eastAsia="zh-CN"/>
        </w:rPr>
        <w:t xml:space="preserve">, </w:t>
      </w:r>
      <w:r>
        <w:rPr>
          <w:lang w:eastAsia="zh-CN"/>
        </w:rPr>
        <w:t>the delay is too long in some cases.</w:t>
      </w:r>
    </w:p>
    <w:p>
      <w:pPr>
        <w:pStyle w:val="96"/>
        <w:rPr>
          <w:rFonts w:cs="Arial"/>
          <w:sz w:val="21"/>
          <w:szCs w:val="21"/>
        </w:rPr>
      </w:pPr>
      <w:r>
        <w:rPr>
          <w:sz w:val="21"/>
          <w:szCs w:val="21"/>
        </w:rPr>
        <w:t>RAN4 should align the requirements on higher priority carriers between NR and LTE: UE shall search every layer of higher priority at least every T</w:t>
      </w:r>
      <w:r>
        <w:rPr>
          <w:sz w:val="21"/>
          <w:szCs w:val="21"/>
          <w:vertAlign w:val="subscript"/>
        </w:rPr>
        <w:t>higher_priority_search</w:t>
      </w:r>
      <w:r>
        <w:rPr>
          <w:sz w:val="21"/>
          <w:szCs w:val="21"/>
        </w:rPr>
        <w:t xml:space="preserve"> = max(60 * N</w:t>
      </w:r>
      <w:r>
        <w:rPr>
          <w:sz w:val="21"/>
          <w:szCs w:val="21"/>
          <w:vertAlign w:val="subscript"/>
        </w:rPr>
        <w:t xml:space="preserve">layers </w:t>
      </w:r>
      <w:r>
        <w:rPr>
          <w:sz w:val="21"/>
          <w:szCs w:val="21"/>
        </w:rPr>
        <w:t>, 1 *  eDRX_IDLE cycle length).</w:t>
      </w:r>
    </w:p>
    <w:p>
      <w:pPr>
        <w:rPr>
          <w:lang w:eastAsia="ja-JP"/>
        </w:rPr>
      </w:pPr>
      <w:r>
        <w:rPr>
          <w:rFonts w:hint="eastAsia"/>
          <w:lang w:val="en-US" w:eastAsia="zh-CN"/>
        </w:rPr>
        <w:t xml:space="preserve">If we reach consensus on </w:t>
      </w:r>
      <w:r>
        <w:t>how to define the measurements on higher priority carriers</w:t>
      </w:r>
      <w:r>
        <w:rPr>
          <w:rFonts w:hint="eastAsia"/>
          <w:lang w:val="en-US" w:eastAsia="zh-CN"/>
        </w:rPr>
        <w:t xml:space="preserve"> in idle mode, t</w:t>
      </w:r>
      <w:r>
        <w:rPr>
          <w:lang w:eastAsia="ja-JP"/>
        </w:rPr>
        <w:t>he same conclusions can also be applied to INACTIVE mode as well by using INACTIVE mode eDRX cycle instead of the IDLE mode eDRX cycle.</w:t>
      </w:r>
    </w:p>
    <w:p>
      <w:pPr>
        <w:rPr>
          <w:lang w:eastAsia="ja-JP"/>
        </w:rPr>
      </w:pPr>
      <w:r>
        <w:rPr>
          <w:b/>
          <w:bCs/>
          <w:lang w:eastAsia="ja-JP"/>
        </w:rPr>
        <w:t xml:space="preserve">Proposal </w:t>
      </w:r>
      <w:r>
        <w:rPr>
          <w:rFonts w:hint="eastAsia"/>
          <w:b/>
          <w:bCs/>
          <w:lang w:val="en-US" w:eastAsia="zh-CN"/>
        </w:rPr>
        <w:t>2</w:t>
      </w:r>
      <w:r>
        <w:rPr>
          <w:b/>
          <w:bCs/>
          <w:lang w:eastAsia="ja-JP"/>
        </w:rPr>
        <w:t>: For INACTIVE mode, the same search rate as IDLE mode applies with eDRX_INACTIVE cycle length instead of eDRX_IDLE cycle length.</w:t>
      </w:r>
    </w:p>
    <w:bookmarkEnd w:id="1"/>
    <w:bookmarkEnd w:id="2"/>
    <w:bookmarkEnd w:id="3"/>
    <w:bookmarkEnd w:id="4"/>
    <w:p>
      <w:pPr>
        <w:pStyle w:val="54"/>
        <w:tabs>
          <w:tab w:val="left" w:pos="567"/>
          <w:tab w:val="clear" w:pos="1985"/>
        </w:tabs>
        <w:adjustRightInd w:val="0"/>
        <w:ind w:left="510" w:hanging="510"/>
      </w:pPr>
      <w:r>
        <w:t>Conclusions</w:t>
      </w:r>
    </w:p>
    <w:p>
      <w:pPr>
        <w:tabs>
          <w:tab w:val="left" w:pos="1134"/>
        </w:tabs>
        <w:spacing w:after="180" w:line="240" w:lineRule="exact"/>
        <w:rPr>
          <w:b/>
          <w:bCs/>
          <w:i/>
          <w:iCs/>
          <w:szCs w:val="21"/>
          <w:lang w:val="en-US"/>
        </w:rPr>
      </w:pPr>
      <w:r>
        <w:rPr>
          <w:sz w:val="21"/>
          <w:szCs w:val="21"/>
        </w:rPr>
        <w:t xml:space="preserve">In </w:t>
      </w:r>
      <w:r>
        <w:rPr>
          <w:rFonts w:hint="eastAsia"/>
          <w:sz w:val="21"/>
          <w:szCs w:val="21"/>
        </w:rPr>
        <w:t xml:space="preserve">this contribution, </w:t>
      </w:r>
      <w:r>
        <w:rPr>
          <w:rFonts w:eastAsiaTheme="minorEastAsia"/>
          <w:szCs w:val="21"/>
          <w:lang w:val="en-US" w:eastAsia="zh-CN"/>
        </w:rPr>
        <w:t xml:space="preserve">we provide our views on the </w:t>
      </w:r>
      <w:r>
        <w:rPr>
          <w:rFonts w:hint="eastAsia" w:eastAsiaTheme="minorEastAsia"/>
          <w:szCs w:val="21"/>
          <w:lang w:val="en-US" w:eastAsia="zh-CN"/>
        </w:rPr>
        <w:t>RRM impacts for enhanced Redcap UE</w:t>
      </w:r>
      <w:r>
        <w:rPr>
          <w:rFonts w:hint="eastAsia"/>
          <w:sz w:val="21"/>
          <w:szCs w:val="21"/>
        </w:rPr>
        <w:t xml:space="preserve"> and the </w:t>
      </w:r>
      <w:r>
        <w:rPr>
          <w:rFonts w:hint="eastAsia"/>
          <w:sz w:val="21"/>
          <w:szCs w:val="21"/>
          <w:lang w:val="en-US" w:eastAsia="zh-CN"/>
        </w:rPr>
        <w:t xml:space="preserve">proposals </w:t>
      </w:r>
      <w:r>
        <w:rPr>
          <w:rFonts w:hint="eastAsia"/>
          <w:sz w:val="21"/>
          <w:szCs w:val="21"/>
        </w:rPr>
        <w:t>are:</w:t>
      </w:r>
    </w:p>
    <w:p>
      <w:pPr>
        <w:pStyle w:val="96"/>
        <w:numPr>
          <w:ilvl w:val="-1"/>
          <w:numId w:val="0"/>
        </w:numPr>
        <w:rPr>
          <w:rFonts w:cs="Arial"/>
        </w:rPr>
      </w:pPr>
      <w:r>
        <w:rPr>
          <w:rFonts w:hint="eastAsia"/>
          <w:lang w:val="en-US" w:eastAsia="zh-CN"/>
        </w:rPr>
        <w:t xml:space="preserve">Proposal1: </w:t>
      </w:r>
      <w:r>
        <w:t>RAN4 should align the requirements on higher priority carriers between NR and LTE: UE shall search every layer of higher priority at least every T</w:t>
      </w:r>
      <w:r>
        <w:rPr>
          <w:vertAlign w:val="subscript"/>
        </w:rPr>
        <w:t>higher_priority_search</w:t>
      </w:r>
      <w:r>
        <w:t xml:space="preserve"> = max(60 * N</w:t>
      </w:r>
      <w:r>
        <w:rPr>
          <w:vertAlign w:val="subscript"/>
        </w:rPr>
        <w:t xml:space="preserve">layers </w:t>
      </w:r>
      <w:r>
        <w:t>, 1 * eDRX_IDLE cycle length).</w:t>
      </w:r>
    </w:p>
    <w:p>
      <w:pPr>
        <w:rPr>
          <w:lang w:eastAsia="ja-JP"/>
        </w:rPr>
      </w:pPr>
      <w:r>
        <w:rPr>
          <w:b/>
          <w:bCs/>
          <w:lang w:eastAsia="ja-JP"/>
        </w:rPr>
        <w:t xml:space="preserve">Proposal </w:t>
      </w:r>
      <w:r>
        <w:rPr>
          <w:rFonts w:hint="eastAsia"/>
          <w:b/>
          <w:bCs/>
          <w:lang w:val="en-US" w:eastAsia="zh-CN"/>
        </w:rPr>
        <w:t>2</w:t>
      </w:r>
      <w:r>
        <w:rPr>
          <w:b/>
          <w:bCs/>
          <w:lang w:eastAsia="ja-JP"/>
        </w:rPr>
        <w:t>: For INACTIVE mode, the same search rate as IDLE mode applies with eDRX_INACTIVE cycle length instead of eDRX_IDLE cycle length.</w:t>
      </w:r>
    </w:p>
    <w:p>
      <w:pPr>
        <w:pStyle w:val="54"/>
        <w:tabs>
          <w:tab w:val="left" w:pos="567"/>
          <w:tab w:val="clear" w:pos="1985"/>
        </w:tabs>
        <w:adjustRightInd w:val="0"/>
        <w:ind w:left="510" w:hanging="510"/>
      </w:pPr>
      <w:r>
        <w:t>References</w:t>
      </w:r>
    </w:p>
    <w:p>
      <w:pPr>
        <w:pStyle w:val="52"/>
        <w:numPr>
          <w:ilvl w:val="0"/>
          <w:numId w:val="7"/>
        </w:numPr>
        <w:rPr>
          <w:sz w:val="20"/>
          <w:szCs w:val="20"/>
        </w:rPr>
      </w:pPr>
      <w:r>
        <w:rPr>
          <w:rFonts w:hint="eastAsia"/>
          <w:b w:val="0"/>
          <w:bCs w:val="0"/>
          <w:i w:val="0"/>
          <w:iCs w:val="0"/>
          <w:sz w:val="21"/>
          <w:szCs w:val="21"/>
          <w:lang w:val="en-US" w:eastAsia="zh-CN"/>
        </w:rPr>
        <w:t>R4-</w:t>
      </w:r>
      <w:r>
        <w:rPr>
          <w:rFonts w:hint="eastAsia"/>
          <w:lang w:val="en-US" w:eastAsia="zh-CN"/>
        </w:rPr>
        <w:t>2403531</w:t>
      </w:r>
      <w:r>
        <w:rPr>
          <w:rFonts w:hint="eastAsia"/>
          <w:b w:val="0"/>
          <w:bCs w:val="0"/>
          <w:i w:val="0"/>
          <w:iCs w:val="0"/>
          <w:sz w:val="21"/>
          <w:szCs w:val="21"/>
          <w:lang w:val="en-US" w:eastAsia="zh-CN"/>
        </w:rPr>
        <w:t xml:space="preserve">, </w:t>
      </w:r>
      <w:r>
        <w:rPr>
          <w:b w:val="0"/>
          <w:bCs w:val="0"/>
          <w:i w:val="0"/>
          <w:iCs w:val="0"/>
          <w:sz w:val="21"/>
          <w:szCs w:val="21"/>
          <w:lang w:eastAsia="zh-CN"/>
        </w:rPr>
        <w:t>WF on R18 RedCap RRM requireme</w:t>
      </w:r>
      <w:r>
        <w:rPr>
          <w:rFonts w:hint="eastAsia"/>
          <w:b w:val="0"/>
          <w:bCs w:val="0"/>
          <w:i w:val="0"/>
          <w:iCs w:val="0"/>
          <w:sz w:val="21"/>
          <w:szCs w:val="21"/>
          <w:lang w:val="en-US" w:eastAsia="zh-CN"/>
        </w:rPr>
        <w:t>n</w:t>
      </w:r>
      <w:r>
        <w:rPr>
          <w:b w:val="0"/>
          <w:bCs w:val="0"/>
          <w:i w:val="0"/>
          <w:iCs w:val="0"/>
          <w:sz w:val="21"/>
          <w:szCs w:val="21"/>
          <w:lang w:eastAsia="zh-CN"/>
        </w:rPr>
        <w:t>ts</w:t>
      </w:r>
      <w:r>
        <w:rPr>
          <w:rFonts w:hint="eastAsia"/>
          <w:b w:val="0"/>
          <w:bCs w:val="0"/>
          <w:i w:val="0"/>
          <w:iCs w:val="0"/>
          <w:sz w:val="21"/>
          <w:szCs w:val="21"/>
          <w:lang w:val="en-US" w:eastAsia="zh-CN"/>
        </w:rPr>
        <w:t xml:space="preserve">, </w:t>
      </w:r>
      <w:r>
        <w:rPr>
          <w:b w:val="0"/>
          <w:bCs w:val="0"/>
          <w:i w:val="0"/>
          <w:iCs w:val="0"/>
          <w:szCs w:val="21"/>
        </w:rPr>
        <w:t>Ericsson</w:t>
      </w:r>
      <w:r>
        <w:rPr>
          <w:rFonts w:hint="eastAsia"/>
          <w:b w:val="0"/>
          <w:bCs w:val="0"/>
          <w:i w:val="0"/>
          <w:iCs w:val="0"/>
          <w:szCs w:val="21"/>
          <w:lang w:val="en-US" w:eastAsia="zh-CN"/>
        </w:rPr>
        <w:t>.</w:t>
      </w:r>
    </w:p>
    <w:p>
      <w:pPr>
        <w:pStyle w:val="20"/>
        <w:shd w:val="clear" w:color="auto" w:fill="FFFFFF"/>
        <w:spacing w:before="60" w:beforeAutospacing="0" w:after="0" w:afterAutospacing="0" w:line="300" w:lineRule="atLeast"/>
        <w:rPr>
          <w:rStyle w:val="26"/>
          <w:rFonts w:hint="eastAsia" w:ascii="Times New Roman" w:hAnsi="Times New Roman" w:eastAsia="宋体" w:cs="Times New Roman"/>
          <w:color w:val="auto"/>
          <w:sz w:val="21"/>
          <w:szCs w:val="21"/>
          <w:shd w:val="clear" w:color="auto" w:fill="FFFFFF"/>
          <w:lang w:eastAsia="zh-CN"/>
        </w:rPr>
      </w:pPr>
      <w:r>
        <w:rPr>
          <w:rStyle w:val="26"/>
          <w:rFonts w:hint="eastAsia" w:ascii="Times New Roman" w:hAnsi="Times New Roman" w:cs="Times New Roman"/>
          <w:color w:val="auto"/>
          <w:sz w:val="21"/>
          <w:szCs w:val="21"/>
          <w:shd w:val="clear" w:color="auto" w:fill="FFFFFF"/>
          <w:lang w:eastAsia="zh-CN"/>
        </w:rPr>
        <w:tab/>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BDF65F6"/>
    <w:multiLevelType w:val="multilevel"/>
    <w:tmpl w:val="4BDF65F6"/>
    <w:lvl w:ilvl="0" w:tentative="0">
      <w:start w:val="1"/>
      <w:numFmt w:val="decimal"/>
      <w:pStyle w:val="9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D6E3167"/>
    <w:multiLevelType w:val="multilevel"/>
    <w:tmpl w:val="4D6E3167"/>
    <w:lvl w:ilvl="0" w:tentative="0">
      <w:start w:val="1"/>
      <w:numFmt w:val="decimal"/>
      <w:pStyle w:val="9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6D204D1"/>
    <w:multiLevelType w:val="multilevel"/>
    <w:tmpl w:val="56D204D1"/>
    <w:lvl w:ilvl="0" w:tentative="0">
      <w:start w:val="0"/>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930" w:hanging="360"/>
      </w:pPr>
      <w:rPr>
        <w:rFonts w:hint="default" w:ascii="Symbol" w:hAnsi="Symbol"/>
      </w:rPr>
    </w:lvl>
    <w:lvl w:ilvl="1" w:tentative="0">
      <w:start w:val="1"/>
      <w:numFmt w:val="bullet"/>
      <w:lvlText w:val="o"/>
      <w:lvlJc w:val="left"/>
      <w:pPr>
        <w:ind w:left="1650" w:hanging="360"/>
      </w:pPr>
      <w:rPr>
        <w:rFonts w:hint="default" w:ascii="Courier New" w:hAnsi="Courier New" w:cs="Courier New"/>
      </w:rPr>
    </w:lvl>
    <w:lvl w:ilvl="2" w:tentative="0">
      <w:start w:val="1"/>
      <w:numFmt w:val="bullet"/>
      <w:lvlText w:val=""/>
      <w:lvlJc w:val="left"/>
      <w:pPr>
        <w:ind w:left="2370" w:hanging="360"/>
      </w:pPr>
      <w:rPr>
        <w:rFonts w:hint="default" w:ascii="Wingdings" w:hAnsi="Wingdings"/>
      </w:rPr>
    </w:lvl>
    <w:lvl w:ilvl="3" w:tentative="0">
      <w:start w:val="1"/>
      <w:numFmt w:val="bullet"/>
      <w:lvlText w:val=""/>
      <w:lvlJc w:val="left"/>
      <w:pPr>
        <w:ind w:left="3090" w:hanging="360"/>
      </w:pPr>
      <w:rPr>
        <w:rFonts w:hint="default" w:ascii="Symbol" w:hAnsi="Symbol"/>
      </w:rPr>
    </w:lvl>
    <w:lvl w:ilvl="4" w:tentative="0">
      <w:start w:val="1"/>
      <w:numFmt w:val="bullet"/>
      <w:lvlText w:val="o"/>
      <w:lvlJc w:val="left"/>
      <w:pPr>
        <w:ind w:left="3810" w:hanging="360"/>
      </w:pPr>
      <w:rPr>
        <w:rFonts w:hint="default" w:ascii="Courier New" w:hAnsi="Courier New" w:cs="Courier New"/>
      </w:rPr>
    </w:lvl>
    <w:lvl w:ilvl="5" w:tentative="0">
      <w:start w:val="1"/>
      <w:numFmt w:val="bullet"/>
      <w:lvlText w:val=""/>
      <w:lvlJc w:val="left"/>
      <w:pPr>
        <w:ind w:left="4530" w:hanging="360"/>
      </w:pPr>
      <w:rPr>
        <w:rFonts w:hint="default" w:ascii="Wingdings" w:hAnsi="Wingdings"/>
      </w:rPr>
    </w:lvl>
    <w:lvl w:ilvl="6" w:tentative="0">
      <w:start w:val="1"/>
      <w:numFmt w:val="bullet"/>
      <w:lvlText w:val=""/>
      <w:lvlJc w:val="left"/>
      <w:pPr>
        <w:ind w:left="5250" w:hanging="360"/>
      </w:pPr>
      <w:rPr>
        <w:rFonts w:hint="default" w:ascii="Symbol" w:hAnsi="Symbol"/>
      </w:rPr>
    </w:lvl>
    <w:lvl w:ilvl="7" w:tentative="0">
      <w:start w:val="1"/>
      <w:numFmt w:val="bullet"/>
      <w:lvlText w:val="o"/>
      <w:lvlJc w:val="left"/>
      <w:pPr>
        <w:ind w:left="5970" w:hanging="360"/>
      </w:pPr>
      <w:rPr>
        <w:rFonts w:hint="default" w:ascii="Courier New" w:hAnsi="Courier New" w:cs="Courier New"/>
      </w:rPr>
    </w:lvl>
    <w:lvl w:ilvl="8" w:tentative="0">
      <w:start w:val="1"/>
      <w:numFmt w:val="bullet"/>
      <w:lvlText w:val=""/>
      <w:lvlJc w:val="left"/>
      <w:pPr>
        <w:ind w:left="6690" w:hanging="360"/>
      </w:pPr>
      <w:rPr>
        <w:rFonts w:hint="default" w:ascii="Wingdings" w:hAnsi="Wingdings"/>
      </w:rPr>
    </w:lvl>
  </w:abstractNum>
  <w:abstractNum w:abstractNumId="5">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0146DC0"/>
    <w:multiLevelType w:val="multilevel"/>
    <w:tmpl w:val="70146DC0"/>
    <w:lvl w:ilvl="0" w:tentative="0">
      <w:start w:val="1"/>
      <w:numFmt w:val="bullet"/>
      <w:pStyle w:val="94"/>
      <w:lvlText w:val=""/>
      <w:lvlJc w:val="left"/>
      <w:pPr>
        <w:tabs>
          <w:tab w:val="left" w:pos="746"/>
        </w:tabs>
        <w:ind w:left="176" w:hanging="360"/>
      </w:pPr>
      <w:rPr>
        <w:rFonts w:hint="default" w:ascii="Symbol" w:hAnsi="Symbol"/>
        <w:b/>
        <w:i w:val="0"/>
        <w:color w:val="auto"/>
        <w:sz w:val="22"/>
      </w:rPr>
    </w:lvl>
    <w:lvl w:ilvl="1" w:tentative="0">
      <w:start w:val="1"/>
      <w:numFmt w:val="bullet"/>
      <w:lvlText w:val="o"/>
      <w:lvlJc w:val="left"/>
      <w:pPr>
        <w:tabs>
          <w:tab w:val="left" w:pos="-5014"/>
        </w:tabs>
        <w:ind w:left="-5014" w:hanging="360"/>
      </w:pPr>
      <w:rPr>
        <w:rFonts w:hint="default" w:ascii="Courier New" w:hAnsi="Courier New" w:cs="Courier New"/>
      </w:rPr>
    </w:lvl>
    <w:lvl w:ilvl="2" w:tentative="0">
      <w:start w:val="1"/>
      <w:numFmt w:val="bullet"/>
      <w:lvlText w:val=""/>
      <w:lvlJc w:val="left"/>
      <w:pPr>
        <w:tabs>
          <w:tab w:val="left" w:pos="-4294"/>
        </w:tabs>
        <w:ind w:left="-4294" w:hanging="360"/>
      </w:pPr>
      <w:rPr>
        <w:rFonts w:hint="default" w:ascii="Wingdings" w:hAnsi="Wingdings"/>
      </w:rPr>
    </w:lvl>
    <w:lvl w:ilvl="3" w:tentative="0">
      <w:start w:val="1"/>
      <w:numFmt w:val="bullet"/>
      <w:lvlText w:val=""/>
      <w:lvlJc w:val="left"/>
      <w:pPr>
        <w:tabs>
          <w:tab w:val="left" w:pos="-3574"/>
        </w:tabs>
        <w:ind w:left="-3574" w:hanging="360"/>
      </w:pPr>
      <w:rPr>
        <w:rFonts w:hint="default" w:ascii="Symbol" w:hAnsi="Symbol"/>
      </w:rPr>
    </w:lvl>
    <w:lvl w:ilvl="4" w:tentative="0">
      <w:start w:val="1"/>
      <w:numFmt w:val="bullet"/>
      <w:lvlText w:val="o"/>
      <w:lvlJc w:val="left"/>
      <w:pPr>
        <w:tabs>
          <w:tab w:val="left" w:pos="-2854"/>
        </w:tabs>
        <w:ind w:left="-2854" w:hanging="360"/>
      </w:pPr>
      <w:rPr>
        <w:rFonts w:hint="default" w:ascii="Courier New" w:hAnsi="Courier New" w:cs="Courier New"/>
      </w:rPr>
    </w:lvl>
    <w:lvl w:ilvl="5" w:tentative="0">
      <w:start w:val="1"/>
      <w:numFmt w:val="bullet"/>
      <w:lvlText w:val=""/>
      <w:lvlJc w:val="left"/>
      <w:pPr>
        <w:tabs>
          <w:tab w:val="left" w:pos="-2134"/>
        </w:tabs>
        <w:ind w:left="-2134" w:hanging="360"/>
      </w:pPr>
      <w:rPr>
        <w:rFonts w:hint="default" w:ascii="Wingdings" w:hAnsi="Wingdings"/>
      </w:rPr>
    </w:lvl>
    <w:lvl w:ilvl="6" w:tentative="0">
      <w:start w:val="1"/>
      <w:numFmt w:val="bullet"/>
      <w:lvlText w:val=""/>
      <w:lvlJc w:val="left"/>
      <w:pPr>
        <w:tabs>
          <w:tab w:val="left" w:pos="-1414"/>
        </w:tabs>
        <w:ind w:left="-1414" w:hanging="360"/>
      </w:pPr>
      <w:rPr>
        <w:rFonts w:hint="default" w:ascii="Symbol" w:hAnsi="Symbol"/>
      </w:rPr>
    </w:lvl>
    <w:lvl w:ilvl="7" w:tentative="0">
      <w:start w:val="1"/>
      <w:numFmt w:val="bullet"/>
      <w:lvlText w:val="o"/>
      <w:lvlJc w:val="left"/>
      <w:pPr>
        <w:tabs>
          <w:tab w:val="left" w:pos="-694"/>
        </w:tabs>
        <w:ind w:left="-694" w:hanging="360"/>
      </w:pPr>
      <w:rPr>
        <w:rFonts w:hint="default" w:ascii="Courier New" w:hAnsi="Courier New" w:cs="Courier New"/>
      </w:rPr>
    </w:lvl>
    <w:lvl w:ilvl="8" w:tentative="0">
      <w:start w:val="1"/>
      <w:numFmt w:val="bullet"/>
      <w:lvlText w:val=""/>
      <w:lvlJc w:val="left"/>
      <w:pPr>
        <w:tabs>
          <w:tab w:val="left" w:pos="26"/>
        </w:tabs>
        <w:ind w:left="26" w:hanging="360"/>
      </w:pPr>
      <w:rPr>
        <w:rFonts w:hint="default" w:ascii="Wingdings" w:hAnsi="Wingdings"/>
      </w:rPr>
    </w:lvl>
  </w:abstractNum>
  <w:num w:numId="1">
    <w:abstractNumId w:val="5"/>
  </w:num>
  <w:num w:numId="2">
    <w:abstractNumId w:val="1"/>
  </w:num>
  <w:num w:numId="3">
    <w:abstractNumId w:val="6"/>
  </w:num>
  <w:num w:numId="4">
    <w:abstractNumId w:val="2"/>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10496"/>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AC199D"/>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BE7ABB"/>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23F6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83778"/>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15C2F"/>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AF37656"/>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8B0447"/>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627A4C"/>
    <w:rsid w:val="2F712CF7"/>
    <w:rsid w:val="2F805714"/>
    <w:rsid w:val="2F8640C4"/>
    <w:rsid w:val="2F8E5F5C"/>
    <w:rsid w:val="2F921FAC"/>
    <w:rsid w:val="2FA21231"/>
    <w:rsid w:val="2FAD4759"/>
    <w:rsid w:val="2FAD5866"/>
    <w:rsid w:val="2FB53837"/>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6509A"/>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D12A3"/>
    <w:rsid w:val="32DE353D"/>
    <w:rsid w:val="32E148E8"/>
    <w:rsid w:val="32E343F6"/>
    <w:rsid w:val="32E921F0"/>
    <w:rsid w:val="32F76D5D"/>
    <w:rsid w:val="32F86450"/>
    <w:rsid w:val="330244A4"/>
    <w:rsid w:val="330F1E44"/>
    <w:rsid w:val="33153FC5"/>
    <w:rsid w:val="331B37C6"/>
    <w:rsid w:val="331C390F"/>
    <w:rsid w:val="333A0536"/>
    <w:rsid w:val="333E0FE1"/>
    <w:rsid w:val="334D7767"/>
    <w:rsid w:val="3352176F"/>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431CD"/>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701E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DF6317"/>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9E33A5"/>
    <w:rsid w:val="39A05979"/>
    <w:rsid w:val="39BB78F7"/>
    <w:rsid w:val="39BC428E"/>
    <w:rsid w:val="39C46549"/>
    <w:rsid w:val="39CA1A60"/>
    <w:rsid w:val="39D3749A"/>
    <w:rsid w:val="39D5434E"/>
    <w:rsid w:val="39DA738E"/>
    <w:rsid w:val="39DC3D4A"/>
    <w:rsid w:val="39DD12F6"/>
    <w:rsid w:val="39DD49C2"/>
    <w:rsid w:val="39DD4ACE"/>
    <w:rsid w:val="39E02BA8"/>
    <w:rsid w:val="39E159B4"/>
    <w:rsid w:val="39E70CEA"/>
    <w:rsid w:val="39E9070B"/>
    <w:rsid w:val="39EC7454"/>
    <w:rsid w:val="39FD2FB3"/>
    <w:rsid w:val="3A026596"/>
    <w:rsid w:val="3A04252C"/>
    <w:rsid w:val="3A082ABE"/>
    <w:rsid w:val="3A0E766B"/>
    <w:rsid w:val="3A101C68"/>
    <w:rsid w:val="3A181AC2"/>
    <w:rsid w:val="3A1A155D"/>
    <w:rsid w:val="3A237175"/>
    <w:rsid w:val="3A3C4FD7"/>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521EA"/>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376DC"/>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0E414C"/>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606AE1"/>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F7317"/>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5A33C7"/>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44EF0"/>
    <w:rsid w:val="5C5E033F"/>
    <w:rsid w:val="5C6875EE"/>
    <w:rsid w:val="5C6F12DC"/>
    <w:rsid w:val="5C7A2919"/>
    <w:rsid w:val="5C890156"/>
    <w:rsid w:val="5CA424CA"/>
    <w:rsid w:val="5CBF4297"/>
    <w:rsid w:val="5CC35ABF"/>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465C3"/>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E7751E"/>
    <w:rsid w:val="61F3667F"/>
    <w:rsid w:val="61F43F82"/>
    <w:rsid w:val="61FB110C"/>
    <w:rsid w:val="620B2B74"/>
    <w:rsid w:val="6210415F"/>
    <w:rsid w:val="62185165"/>
    <w:rsid w:val="621D66D4"/>
    <w:rsid w:val="622E2CF4"/>
    <w:rsid w:val="622F5ABF"/>
    <w:rsid w:val="62342E1D"/>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3E57A6"/>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1E3342"/>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C2B5D"/>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50B3E"/>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0087C"/>
    <w:rsid w:val="78F40C87"/>
    <w:rsid w:val="78F66B5A"/>
    <w:rsid w:val="78FC7FC2"/>
    <w:rsid w:val="79042DE3"/>
    <w:rsid w:val="7909720E"/>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
    <w:qFormat/>
    <w:uiPriority w:val="0"/>
    <w:pPr>
      <w:ind w:left="851"/>
    </w:pPr>
  </w:style>
  <w:style w:type="paragraph" w:styleId="16">
    <w:name w:val="Balloon Text"/>
    <w:basedOn w:val="1"/>
    <w:link w:val="30"/>
    <w:unhideWhenUsed/>
    <w:qFormat/>
    <w:uiPriority w:val="99"/>
    <w:rPr>
      <w:sz w:val="18"/>
      <w:szCs w:val="18"/>
    </w:rPr>
  </w:style>
  <w:style w:type="paragraph" w:styleId="17">
    <w:name w:val="footer"/>
    <w:basedOn w:val="18"/>
    <w:link w:val="81"/>
    <w:unhideWhenUsed/>
    <w:qFormat/>
    <w:uiPriority w:val="99"/>
    <w:pPr>
      <w:tabs>
        <w:tab w:val="center" w:pos="4153"/>
        <w:tab w:val="right" w:pos="8306"/>
      </w:tabs>
      <w:jc w:val="left"/>
    </w:pPr>
  </w:style>
  <w:style w:type="paragraph" w:styleId="18">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2"/>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character" w:customStyle="1" w:styleId="30">
    <w:name w:val="批注框文本 Char"/>
    <w:link w:val="16"/>
    <w:semiHidden/>
    <w:qFormat/>
    <w:uiPriority w:val="99"/>
    <w:rPr>
      <w:kern w:val="2"/>
      <w:sz w:val="18"/>
      <w:szCs w:val="18"/>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6"/>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9"/>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4"/>
    <w:qFormat/>
    <w:uiPriority w:val="0"/>
  </w:style>
  <w:style w:type="character" w:customStyle="1" w:styleId="62">
    <w:name w:val="c-icon"/>
    <w:basedOn w:val="24"/>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Char"/>
    <w:link w:val="7"/>
    <w:qFormat/>
    <w:uiPriority w:val="0"/>
    <w:rPr>
      <w:rFonts w:ascii="Arial" w:hAnsi="Arial" w:eastAsia="宋体"/>
      <w:lang w:val="en-GB" w:eastAsia="en-US"/>
    </w:rPr>
  </w:style>
  <w:style w:type="character" w:customStyle="1" w:styleId="65">
    <w:name w:val="c-icon14"/>
    <w:basedOn w:val="24"/>
    <w:qFormat/>
    <w:uiPriority w:val="0"/>
  </w:style>
  <w:style w:type="character" w:customStyle="1" w:styleId="66">
    <w:name w:val="标题 8 Char"/>
    <w:link w:val="9"/>
    <w:qFormat/>
    <w:uiPriority w:val="0"/>
    <w:rPr>
      <w:rFonts w:ascii="Arial" w:hAnsi="Arial" w:eastAsia="宋体"/>
      <w:sz w:val="36"/>
      <w:lang w:val="en-GB" w:eastAsia="en-US"/>
    </w:rPr>
  </w:style>
  <w:style w:type="character" w:customStyle="1" w:styleId="67">
    <w:name w:val="op_dict_text2"/>
    <w:basedOn w:val="24"/>
    <w:qFormat/>
    <w:uiPriority w:val="0"/>
  </w:style>
  <w:style w:type="character" w:customStyle="1" w:styleId="68">
    <w:name w:val="标题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4"/>
    <w:link w:val="35"/>
    <w:qFormat/>
    <w:uiPriority w:val="0"/>
    <w:rPr>
      <w:rFonts w:ascii="Arial" w:hAnsi="Arial" w:eastAsia="Times New Roman" w:cs="Times New Roman"/>
      <w:kern w:val="0"/>
      <w:sz w:val="18"/>
      <w:szCs w:val="20"/>
      <w:lang w:val="en-GB" w:eastAsia="ja-JP"/>
    </w:rPr>
  </w:style>
  <w:style w:type="character" w:customStyle="1" w:styleId="75">
    <w:name w:val="标题 4 Char"/>
    <w:link w:val="5"/>
    <w:qFormat/>
    <w:uiPriority w:val="0"/>
    <w:rPr>
      <w:rFonts w:ascii="Arial" w:hAnsi="Arial" w:eastAsia="宋体"/>
      <w:sz w:val="24"/>
      <w:lang w:val="en-GB" w:eastAsia="en-US"/>
    </w:rPr>
  </w:style>
  <w:style w:type="character" w:customStyle="1" w:styleId="76">
    <w:name w:val="char char char Char"/>
    <w:link w:val="38"/>
    <w:qFormat/>
    <w:uiPriority w:val="0"/>
    <w:rPr>
      <w:rFonts w:ascii="Arial" w:hAnsi="Arial" w:eastAsia="宋体" w:cs="Times New Roman"/>
      <w:kern w:val="0"/>
      <w:sz w:val="24"/>
      <w:szCs w:val="28"/>
    </w:rPr>
  </w:style>
  <w:style w:type="character" w:customStyle="1" w:styleId="77">
    <w:name w:val="页眉 Char"/>
    <w:link w:val="18"/>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7"/>
    <w:qFormat/>
    <w:uiPriority w:val="99"/>
    <w:rPr>
      <w:sz w:val="18"/>
      <w:szCs w:val="18"/>
    </w:rPr>
  </w:style>
  <w:style w:type="character" w:customStyle="1" w:styleId="82">
    <w:name w:val="批注主题 Char"/>
    <w:link w:val="21"/>
    <w:semiHidden/>
    <w:qFormat/>
    <w:uiPriority w:val="99"/>
    <w:rPr>
      <w:b/>
      <w:bCs/>
      <w:kern w:val="2"/>
      <w:lang w:eastAsia="zh-CN"/>
    </w:rPr>
  </w:style>
  <w:style w:type="character" w:customStyle="1" w:styleId="83">
    <w:name w:val="msoins"/>
    <w:basedOn w:val="24"/>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4"/>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B2"/>
    <w:basedOn w:val="15"/>
    <w:qFormat/>
    <w:uiPriority w:val="0"/>
  </w:style>
  <w:style w:type="paragraph" w:customStyle="1" w:styleId="93">
    <w:name w:val="Reference"/>
    <w:basedOn w:val="14"/>
    <w:qFormat/>
    <w:uiPriority w:val="0"/>
    <w:pPr>
      <w:numPr>
        <w:ilvl w:val="0"/>
        <w:numId w:val="2"/>
      </w:numPr>
    </w:pPr>
  </w:style>
  <w:style w:type="paragraph" w:customStyle="1" w:styleId="94">
    <w:name w:val="Agreement"/>
    <w:basedOn w:val="1"/>
    <w:next w:val="95"/>
    <w:qFormat/>
    <w:uiPriority w:val="99"/>
    <w:pPr>
      <w:numPr>
        <w:ilvl w:val="0"/>
        <w:numId w:val="3"/>
      </w:numPr>
      <w:tabs>
        <w:tab w:val="left" w:pos="1800"/>
      </w:tabs>
      <w:spacing w:before="60"/>
      <w:ind w:left="1800"/>
    </w:pPr>
    <w:rPr>
      <w:rFonts w:ascii="Arial" w:hAnsi="Arial"/>
      <w:b/>
      <w:lang w:eastAsia="en-GB"/>
    </w:rPr>
  </w:style>
  <w:style w:type="paragraph" w:customStyle="1" w:styleId="95">
    <w:name w:val="Doc-text2"/>
    <w:basedOn w:val="1"/>
    <w:qFormat/>
    <w:uiPriority w:val="0"/>
    <w:pPr>
      <w:tabs>
        <w:tab w:val="left" w:pos="1622"/>
      </w:tabs>
      <w:spacing w:before="0"/>
      <w:ind w:left="1985" w:hanging="363"/>
    </w:pPr>
  </w:style>
  <w:style w:type="paragraph" w:customStyle="1" w:styleId="96">
    <w:name w:val="RAN4 proposal"/>
    <w:basedOn w:val="11"/>
    <w:next w:val="1"/>
    <w:qFormat/>
    <w:uiPriority w:val="0"/>
    <w:pPr>
      <w:numPr>
        <w:ilvl w:val="0"/>
        <w:numId w:val="4"/>
      </w:numPr>
      <w:ind w:left="0" w:firstLine="0"/>
      <w:jc w:val="left"/>
    </w:pPr>
    <w:rPr>
      <w:rFonts w:ascii="Times New Roman" w:hAnsi="Times New Roman"/>
      <w:b/>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16</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2024-04-08T11:50:22Z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590784E192F6444698410DE131BEA63D</vt:lpwstr>
  </property>
</Properties>
</file>